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Layout w:type="fixed"/>
        <w:tblLook w:val="0400"/>
      </w:tblPr>
      <w:tblGrid>
        <w:gridCol w:w="1378"/>
        <w:gridCol w:w="7977"/>
        <w:tblGridChange w:id="0">
          <w:tblGrid>
            <w:gridCol w:w="1378"/>
            <w:gridCol w:w="7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 образовательная организация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РАБОЧАЯ ПРОГРАММА УЧЕБНОЙ ДИСЦИПЛИНЫ </w:t>
      </w:r>
    </w:p>
    <w:p w:rsidR="00000000" w:rsidDel="00000000" w:rsidP="00000000" w:rsidRDefault="00000000" w:rsidRPr="00000000" w14:paraId="00000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ИСТОРИЯ</w:t>
      </w:r>
    </w:p>
    <w:p w:rsidR="00000000" w:rsidDel="00000000" w:rsidP="00000000" w:rsidRDefault="00000000" w:rsidRPr="00000000" w14:paraId="000000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61.9999999999999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4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8222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2020 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1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Разработчики:</w:t>
      </w:r>
    </w:p>
    <w:p w:rsidR="00000000" w:rsidDel="00000000" w:rsidP="00000000" w:rsidRDefault="00000000" w:rsidRPr="00000000" w14:paraId="000000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Кислова Н.И. - ГАУ КО «Колледж предпринимательства», преподаватель</w:t>
      </w:r>
    </w:p>
    <w:p w:rsidR="00000000" w:rsidDel="00000000" w:rsidP="00000000" w:rsidRDefault="00000000" w:rsidRPr="00000000" w14:paraId="00000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4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dxa"/>
        <w:tblLayout w:type="fixed"/>
        <w:tblLook w:val="0000"/>
      </w:tblPr>
      <w:tblGrid>
        <w:gridCol w:w="7502"/>
        <w:gridCol w:w="1853"/>
        <w:tblGridChange w:id="0">
          <w:tblGrid>
            <w:gridCol w:w="7502"/>
            <w:gridCol w:w="18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644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ОБЩАЯ ХАРАКТЕРИСТИКА РАБОЧЕЙ ПРОГРАММЫ УЧЕБНОЙ ДИСЦИПЛИНЫ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ind w:left="644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ind w:left="644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УСЛОВИЯ РЕАЛИЗАЦИИ УЧЕБНОЙ ДИСЦИПЛИНЫ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644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ХАРАКТЕРИСТИКА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Место дисциплины в структуре основной профессиональной образовательной программы: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дисциплина История входит в общий гуманитарный и социально-экономический цикл (ОГСЭ)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1.2. Цель и планируемые результаты освоения дисциплины:</w:t>
      </w:r>
    </w:p>
    <w:tbl>
      <w:tblPr>
        <w:tblStyle w:val="Table3"/>
        <w:tblW w:w="92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3260"/>
        <w:gridCol w:w="5029"/>
        <w:tblGridChange w:id="0">
          <w:tblGrid>
            <w:gridCol w:w="959"/>
            <w:gridCol w:w="3260"/>
            <w:gridCol w:w="5029"/>
          </w:tblGrid>
        </w:tblGridChange>
      </w:tblGrid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ПК, 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Знания</w:t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01 – ОК 07, ОК 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18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ориентироваться в современной экономической, политической и культурной ситуации в России и мире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181" w:firstLine="28.999999999999986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выявлять взаимосвязь отечественных, региональных, мировых социально-экономических, политических и культурных проблем.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основных направлений развития ключевых регионов мира на рубеже XX – XXI веков.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сущности и причин локальных, региональных, межгосударственных конфликтов в конце XX – начале XXI вв.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назначения ООН, НАТО, ЕС и других организаций, и основных направлений их деятельности;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5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5" w:firstLine="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содержания и назначения важнейших правовых и законодательных актов мирового и регионального значения.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5" w:firstLine="283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СТРУКТУРА И СОДЕРЖАНИЕ УЧЕБНОЙ ДИСЦИПЛИНЫ ИСТОРИЯ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Объем учебной дисциплины и виды учебной работы</w:t>
      </w:r>
    </w:p>
    <w:tbl>
      <w:tblPr>
        <w:tblStyle w:val="Table4"/>
        <w:tblW w:w="93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608"/>
        <w:gridCol w:w="1731"/>
        <w:tblGridChange w:id="0">
          <w:tblGrid>
            <w:gridCol w:w="7608"/>
            <w:gridCol w:w="1731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 учебной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Объем часов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Суммарная учебная нагрузка во взаимодействии с преподавателем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40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Объем образовательной программы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40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числе: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теоретическое обучение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практические занятия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самостоятельная работа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Промежуточная аттестация: дифференцированный зачет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b w:val="1"/>
        </w:rPr>
        <w:sectPr>
          <w:pgSz w:h="16838" w:w="11906" w:orient="portrait"/>
          <w:pgMar w:bottom="284" w:top="709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Тематический план и содержание учебной дисциплины </w:t>
      </w:r>
    </w:p>
    <w:tbl>
      <w:tblPr>
        <w:tblStyle w:val="Table5"/>
        <w:tblW w:w="1448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9"/>
        <w:gridCol w:w="8806"/>
        <w:gridCol w:w="953"/>
        <w:gridCol w:w="1666"/>
        <w:tblGridChange w:id="0">
          <w:tblGrid>
            <w:gridCol w:w="3059"/>
            <w:gridCol w:w="8806"/>
            <w:gridCol w:w="953"/>
            <w:gridCol w:w="1666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ind w:firstLine="2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 часов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Коды компетенций, формированию которых способствует элемент программы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694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firstLine="3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1290"/>
              </w:tabs>
              <w:spacing w:after="0" w:line="240" w:lineRule="auto"/>
              <w:ind w:firstLine="3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pStyle w:val="Subtitle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rtl w:val="0"/>
              </w:rPr>
              <w:t xml:space="preserve">Раздел 1. Мир на рубеже X-XXI вв.</w:t>
            </w:r>
          </w:p>
        </w:tc>
        <w:tc>
          <w:tcPr/>
          <w:p w:rsidR="00000000" w:rsidDel="00000000" w:rsidP="00000000" w:rsidRDefault="00000000" w:rsidRPr="00000000" w14:paraId="00000081">
            <w:pPr>
              <w:pStyle w:val="Subtitle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rtl w:val="0"/>
              </w:rPr>
              <w:t xml:space="preserve">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2">
            <w:pPr>
              <w:pStyle w:val="Subtitle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Глобальные проблемы современности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Главные глобальные проблемы. Основные направления разрешения глобальных проблем.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01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02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03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04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05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06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07</w:t>
            </w:r>
          </w:p>
          <w:p w:rsidR="00000000" w:rsidDel="00000000" w:rsidP="00000000" w:rsidRDefault="00000000" w:rsidRPr="00000000" w14:paraId="0000008D">
            <w:pPr>
              <w:pStyle w:val="Subtitle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rtl w:val="0"/>
              </w:rPr>
              <w:t xml:space="preserve">ОК 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Цели и задачи ООН в современном мире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Причины создания. Основные направления деятельности. Значение ООН в современном мире.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Практическая работа.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 в решении проблем национальной безопасности.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и значение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НАТО на рубеже XX-XXI вв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создания НАТО. Цель и задачи. Взаимоотношения НАТО и России в к.XX -н.XXI вв. Архитектура ПРО в Европе.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Практическая работа.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политической картой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2. Основные направления развития ключевых регионов мира на рубеже веков (XX-XXI)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Распад СССР – крупнейшая геополитическая катастрофа, изменившая мир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01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02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03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04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05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06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07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Причины распада СССР. Парад суверенитетов. Образование СНГ. Создание Евразийского Союза. Изменение политической карты Европы.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Практическая работа.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политической картой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США и принципы экзаменатора и двойных стандартов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Понятия «Двойной стандарт», «Экзаменатор». Доктрина американской исключительности. Глобальный мессионизм.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Исламский мир в к. XX-н. XXI вв.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характеристика исламского мира. Исламский фундаментализм: понятие, причины, следствия. Террористическая сеть Аль-Каида, Организация (Исламское государство). Россия и исламский мир.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Практическая работа.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политической картой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Проблемы разоружения и угроза региональных и глобальных конфликтов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Оранжевые революции. Война в Ливии. Война в Сирии. Вооруженный конфликт на Украине.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Наука, культура и религия в сохранении и укреплении национальных и государственных традиций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Влияние глобализации на современную мировую культуру. Значение науки в развитии мирового хозяйства. Нанотехнологии. Религия в современном мире.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Практическая работа.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документами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3. Российская Федерация в конце XX - нач. XXI в.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Общественно-политическое развитие России во II половине 90-х г. XXI 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01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02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03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04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05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06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07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 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политические партии движения. Молодежные движения. Межнациональные и межконфессиональные отношения в современной России. Чеченский конфликт и его влияние на российское общество. Президентские выборы 2012 г. Курс на укрепление государственности, экономический подъем, социальную и политическую стабильность, упрочение национальной безопасности. Парламентские выборы 2011 г.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Практическая работа.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Экономика России XXI в.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 в мировом сообществе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Укрепление правовой базы реформ. Участие России в формировании современной международно-правовой системы. Россия в мировых и европейских интеграционных процессах. Партнерство России и Европейского союза. Конфликт традиционного уклада и модернизационных тенденций. Рост фундаменталистских настроений. 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Практическая работа.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наука и культура в н. XXI 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Дифференцированный зачет.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993" w:top="284" w:left="1134" w:right="1134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3 - продуктивный (планирование и самостоятельное выполнение деятельности, решение проблемных задач</w:t>
      </w:r>
    </w:p>
    <w:p w:rsidR="00000000" w:rsidDel="00000000" w:rsidP="00000000" w:rsidRDefault="00000000" w:rsidRPr="00000000" w14:paraId="00000110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УСЛОВИЯ РЕАЛИЗАЦИИ ПРОГРАММЫ УЧЕБНОЙ ДИСЦИПЛИНЫ</w:t>
      </w:r>
    </w:p>
    <w:p w:rsidR="00000000" w:rsidDel="00000000" w:rsidP="00000000" w:rsidRDefault="00000000" w:rsidRPr="00000000" w14:paraId="0000011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реализации программы учебной дисциплины предусмотрены следующие специальные помещения:</w:t>
      </w:r>
    </w:p>
    <w:p w:rsidR="00000000" w:rsidDel="00000000" w:rsidP="00000000" w:rsidRDefault="00000000" w:rsidRPr="00000000" w14:paraId="0000011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 «Истории и философии», оснащенный оборудованием: рабочее место преподавателя, парты учащихся, техническими средствами обучения: персональный компьютер с лицензионным программным обеспечением, мультмедиапроектор, экран, лазерная указка, шкафы для хранения учебных материалов по предмету.</w:t>
      </w:r>
    </w:p>
    <w:p w:rsidR="00000000" w:rsidDel="00000000" w:rsidP="00000000" w:rsidRDefault="00000000" w:rsidRPr="00000000" w14:paraId="0000011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3.2. Информационное обеспечение реализации программы</w:t>
      </w:r>
    </w:p>
    <w:p w:rsidR="00000000" w:rsidDel="00000000" w:rsidP="00000000" w:rsidRDefault="00000000" w:rsidRPr="00000000" w14:paraId="0000011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реализации программы библиотечный фонд имеет печатные ресурсы, рекомендуемых для использования в образовательном процессе </w:t>
      </w:r>
    </w:p>
    <w:p w:rsidR="00000000" w:rsidDel="00000000" w:rsidP="00000000" w:rsidRDefault="00000000" w:rsidRPr="00000000" w14:paraId="00000116">
      <w:pPr>
        <w:spacing w:after="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3.2.1. Печатные издания</w:t>
      </w:r>
    </w:p>
    <w:p w:rsidR="00000000" w:rsidDel="00000000" w:rsidP="00000000" w:rsidRDefault="00000000" w:rsidRPr="00000000" w14:paraId="00000117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Артёмов В. В., Лубченков Ю. Н., История (для всех специальностей СПО). М. Академия. 2016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Алексашкина Л.Н. Россия и мир в XX – начале XXI века. М.: 2017</w:t>
      </w:r>
    </w:p>
    <w:p w:rsidR="00000000" w:rsidDel="00000000" w:rsidP="00000000" w:rsidRDefault="00000000" w:rsidRPr="00000000" w14:paraId="00000119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hanging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И ОЦЕНКА РЕЗУЛЬТАТОВ ОСВОЕНИЯ УЧЕБНОЙ ДИСЦИПЛИНЫ</w:t>
      </w:r>
    </w:p>
    <w:tbl>
      <w:tblPr>
        <w:tblStyle w:val="Table6"/>
        <w:tblW w:w="10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44"/>
        <w:gridCol w:w="3644"/>
        <w:gridCol w:w="2607"/>
        <w:tblGridChange w:id="0">
          <w:tblGrid>
            <w:gridCol w:w="3944"/>
            <w:gridCol w:w="3644"/>
            <w:gridCol w:w="26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Результаты обучения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Критерии оценки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Методы оценки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основных направлений развития ключевых регионов мира на рубеже XX – XXI веков.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сущности и причин локальных, региональных, межгосударственных конфликтов в конце XX – начале XXI вв.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назначения ООН, НАТО, ЕС и других организаций, основных направлений их деятельности;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Примеры форм и методов контроля и оценки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  <w:t xml:space="preserve">Компьютерное тестирование на знание терминологии по теме;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  <w:t xml:space="preserve">Тестирование.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  <w:t xml:space="preserve">Контрольная работа.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  <w:t xml:space="preserve">Самостоятельная работа.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  <w:t xml:space="preserve">Защита реферата.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  <w:t xml:space="preserve">Семинар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  <w:t xml:space="preserve">Защита курсовой работы (проекта)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  <w:t xml:space="preserve">Выполнение проекта;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  <w:t xml:space="preserve">Наблюдение за выполнением практического задания. (деятельностью студента)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  <w:t xml:space="preserve">Оценка выполнения практического задания(работы)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  <w:t xml:space="preserve">Подготовка и выступление с докладом, сообщением, презентацией…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  <w:t xml:space="preserve">Решение ситуационной задачи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ориентироваться в современной экономической, политической и культурной ситуации в России и мире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0" w:right="75" w:hanging="708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Cambria" w:cs="Cambria" w:eastAsia="Cambria" w:hAnsi="Cambria"/>
      <w:b w:val="1"/>
    </w:rPr>
  </w:style>
  <w:style w:type="paragraph" w:styleId="Heading2">
    <w:name w:val="heading 2"/>
    <w:basedOn w:val="Normal"/>
    <w:next w:val="Normal"/>
    <w:pPr>
      <w:spacing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</w:pPr>
    <w:rPr>
      <w:rFonts w:ascii="Cambria" w:cs="Cambria" w:eastAsia="Cambria" w:hAnsi="Cambria"/>
      <w:b w:val="1"/>
    </w:rPr>
  </w:style>
  <w:style w:type="paragraph" w:styleId="Heading4">
    <w:name w:val="heading 4"/>
    <w:basedOn w:val="Normal"/>
    <w:next w:val="Normal"/>
    <w:pPr>
      <w:spacing w:before="200" w:lineRule="auto"/>
    </w:pPr>
    <w:rPr>
      <w:rFonts w:ascii="Cambria" w:cs="Cambria" w:eastAsia="Cambria" w:hAnsi="Cambria"/>
      <w:b w:val="1"/>
      <w:i w:val="1"/>
    </w:rPr>
  </w:style>
  <w:style w:type="paragraph" w:styleId="Heading5">
    <w:name w:val="heading 5"/>
    <w:basedOn w:val="Normal"/>
    <w:next w:val="Normal"/>
    <w:pPr>
      <w:spacing w:before="200" w:lineRule="auto"/>
    </w:pPr>
    <w:rPr>
      <w:rFonts w:ascii="Cambria" w:cs="Cambria" w:eastAsia="Cambria" w:hAnsi="Cambria"/>
      <w:b w:val="1"/>
      <w:color w:val="7f7f7f"/>
    </w:rPr>
  </w:style>
  <w:style w:type="paragraph" w:styleId="Heading6">
    <w:name w:val="heading 6"/>
    <w:basedOn w:val="Normal"/>
    <w:next w:val="Normal"/>
    <w:pPr>
      <w:spacing w:line="271" w:lineRule="auto"/>
    </w:pPr>
    <w:rPr>
      <w:rFonts w:ascii="Cambria" w:cs="Cambria" w:eastAsia="Cambria" w:hAnsi="Cambria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</w:pPr>
    <w:rPr>
      <w:rFonts w:ascii="Cambria" w:cs="Cambria" w:eastAsia="Cambria" w:hAnsi="Cambria"/>
      <w:sz w:val="52"/>
      <w:szCs w:val="52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