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spacing w:after="42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>государственное автономное учреждение</w:t>
      </w:r>
      <w:r>
        <w:rPr>
          <w:rFonts w:ascii="Times New Roman" w:eastAsia="Times New Roman" w:hAnsi="Times New Roman" w:cs="Times New Roman"/>
          <w:color w:val="000000"/>
        </w:rPr>
        <w:br/>
        <w:t>Калининградской области</w:t>
      </w:r>
      <w:r>
        <w:rPr>
          <w:rFonts w:ascii="Times New Roman" w:eastAsia="Times New Roman" w:hAnsi="Times New Roman" w:cs="Times New Roman"/>
          <w:color w:val="000000"/>
        </w:rPr>
        <w:br/>
        <w:t>профессиональная образовательная организация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«КОЛЛЕДЖ ПРЕДПРИНИМАТЕЛЬСТВА»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57225" cy="70485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7258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1EBB" w:rsidRDefault="001F1D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706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Безопасность жизнедеятельности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6A0388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Рабочая программа разработана на основе требований ФГОС средн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от 28 июня 2016 г. № 2/16-з).</w:t>
      </w:r>
    </w:p>
    <w:p w:rsidR="001B1EBB" w:rsidRDefault="001B1EB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1B1EBB" w:rsidRDefault="001B1EB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Разработчики: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С.В. Яценко – ГАУ КО «Колледж предпринимательства», преподаватель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Гризецкий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ГАУ КО «Колледж предпринимательства», преподаватель</w:t>
      </w:r>
    </w:p>
    <w:p w:rsidR="001B1EBB" w:rsidRDefault="001B1EB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1EBB" w:rsidRDefault="001B1EB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1EBB" w:rsidRDefault="001B1EB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B1EBB">
          <w:footerReference w:type="default" r:id="rId8"/>
          <w:footerReference w:type="first" r:id="rId9"/>
          <w:pgSz w:w="11900" w:h="16840"/>
          <w:pgMar w:top="1186" w:right="748" w:bottom="2106" w:left="1648" w:header="0" w:footer="3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Рабочая программа учебной дисциплины рассмотрена на заседании отделения общеобразовательных дисциплин. </w:t>
      </w:r>
      <w:r w:rsidR="006A0388" w:rsidRPr="006A0388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№ 1 от 31.08.2020 г.</w:t>
      </w:r>
      <w:bookmarkStart w:id="3" w:name="_GoBack"/>
      <w:bookmarkEnd w:id="3"/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spacing w:after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СОДЕРЖАНИЕ</w:t>
      </w:r>
    </w:p>
    <w:tbl>
      <w:tblPr>
        <w:tblStyle w:val="a5"/>
        <w:tblW w:w="93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87"/>
        <w:gridCol w:w="1431"/>
      </w:tblGrid>
      <w:tr w:rsidR="001B1EBB">
        <w:tc>
          <w:tcPr>
            <w:tcW w:w="846" w:type="dxa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7" w:type="dxa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1" w:type="dxa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стр.</w:t>
            </w:r>
          </w:p>
        </w:tc>
      </w:tr>
      <w:tr w:rsidR="001B1EBB">
        <w:tc>
          <w:tcPr>
            <w:tcW w:w="846" w:type="dxa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7087" w:type="dxa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ПАСПОРТ РАБОЧЕЙ ПРОГРАММЫ УЧЕБНОЙ ДИСЦИПЛИНЫ</w:t>
            </w:r>
          </w:p>
        </w:tc>
        <w:tc>
          <w:tcPr>
            <w:tcW w:w="1431" w:type="dxa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B1EBB">
        <w:tc>
          <w:tcPr>
            <w:tcW w:w="846" w:type="dxa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7087" w:type="dxa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СТРУКТУРА И СОДЕРЖАНИЕ УЧЕБНОЙ ДИСЦИПЛИНЫ</w:t>
            </w:r>
          </w:p>
        </w:tc>
        <w:tc>
          <w:tcPr>
            <w:tcW w:w="1431" w:type="dxa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1B1EBB">
        <w:tc>
          <w:tcPr>
            <w:tcW w:w="846" w:type="dxa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7087" w:type="dxa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УСЛОВИЯ РЕАЛИЗАЦИИ РАБОЧЕЙ ПРОГРАММЫ УЧЕБНОЙ ДИСЦИПЛИНЫ</w:t>
            </w:r>
          </w:p>
        </w:tc>
        <w:tc>
          <w:tcPr>
            <w:tcW w:w="1431" w:type="dxa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1B1EBB">
        <w:tc>
          <w:tcPr>
            <w:tcW w:w="846" w:type="dxa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7087" w:type="dxa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КОНТРОЛЬ И ОЦЕНКА РЕЗУЛЬТАТОВ ОСВОЕНИЯ УЧЕБНОЙ ДИСЦИПЛИНЫ</w:t>
            </w:r>
          </w:p>
        </w:tc>
        <w:tc>
          <w:tcPr>
            <w:tcW w:w="1431" w:type="dxa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</w:tbl>
    <w:p w:rsidR="001B1EBB" w:rsidRDefault="001B1EBB">
      <w:pPr>
        <w:pBdr>
          <w:top w:val="nil"/>
          <w:left w:val="nil"/>
          <w:bottom w:val="nil"/>
          <w:right w:val="nil"/>
          <w:between w:val="nil"/>
        </w:pBdr>
        <w:spacing w:after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B1EBB">
          <w:pgSz w:w="11900" w:h="16840"/>
          <w:pgMar w:top="1704" w:right="803" w:bottom="2027" w:left="1593" w:header="0" w:footer="3" w:gutter="0"/>
          <w:cols w:space="720"/>
        </w:sectPr>
      </w:pPr>
    </w:p>
    <w:p w:rsidR="001B1EBB" w:rsidRDefault="001F1D59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3dy6vkm" w:colFirst="0" w:colLast="0"/>
      <w:bookmarkStart w:id="5" w:name="2et92p0" w:colFirst="0" w:colLast="0"/>
      <w:bookmarkStart w:id="6" w:name="3znysh7" w:colFirst="0" w:colLast="0"/>
      <w:bookmarkStart w:id="7" w:name="tyjcwt" w:colFirst="0" w:colLast="0"/>
      <w:bookmarkStart w:id="8" w:name="1t3h5sf" w:colFirst="0" w:colLast="0"/>
      <w:bookmarkEnd w:id="4"/>
      <w:bookmarkEnd w:id="5"/>
      <w:bookmarkEnd w:id="6"/>
      <w:bookmarkEnd w:id="7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1B1EBB" w:rsidRDefault="001F1D59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Основы безопасности жизнедеятельности</w:t>
      </w:r>
    </w:p>
    <w:p w:rsidR="001B1EBB" w:rsidRDefault="001F1D59">
      <w:pPr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Область применения программы</w:t>
      </w:r>
    </w:p>
    <w:p w:rsidR="001B1EBB" w:rsidRDefault="001F1D5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программ подготовки специалистов среднего звена и квалифицированных рабочих и служащих. </w:t>
      </w:r>
    </w:p>
    <w:p w:rsidR="001B1EBB" w:rsidRDefault="001B1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EBB" w:rsidRDefault="001F1D59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дисциплины в структуре основной професс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иональной образовательной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дисциплина общеобразовательного цикла.</w:t>
      </w:r>
    </w:p>
    <w:p w:rsidR="001B1EBB" w:rsidRDefault="001B1EBB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1EBB" w:rsidRDefault="001F1D59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1B1EBB" w:rsidRDefault="001F1D5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Освоение содержания учебной дисциплины Основы безопасности жизнедеятельности обеспечивает достижение следующих результатов:</w:t>
      </w:r>
    </w:p>
    <w:p w:rsidR="001B1EBB" w:rsidRDefault="001F1D5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личностных: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личностных, в том числе духовных и физических, качеств, обеспечивающих защищенность жизненно важных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от внешних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внутренних угроз;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готовность к служению Отечеству, его защите;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исключение из своей жизни вредных привычек (курения, пьянства и т. д.);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освоение приемов действий в опасных и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чрезвычайных ситуациях природного, техногенного и социального характера;</w:t>
      </w:r>
    </w:p>
    <w:p w:rsidR="001B1EBB" w:rsidRDefault="001F1D5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обобщать и сравнивать последс</w:t>
      </w:r>
      <w:r>
        <w:rPr>
          <w:rFonts w:ascii="Gungsuh" w:eastAsia="Gungsuh" w:hAnsi="Gungsuh" w:cs="Gungsuh"/>
          <w:color w:val="000000"/>
          <w:sz w:val="28"/>
          <w:szCs w:val="28"/>
        </w:rPr>
        <w:t>твия опасных и чрезвычайных ситуаций;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выявлять причинно-следственные связи опасных ситуаций и их влияние на безопасность жизнедеятельности человека;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овладение навыками самостоятельно определять цели и задачи по безопасному поведению в повседневной жизн</w:t>
      </w:r>
      <w:r>
        <w:rPr>
          <w:rFonts w:ascii="Gungsuh" w:eastAsia="Gungsuh" w:hAnsi="Gungsuh" w:cs="Gungsuh"/>
          <w:color w:val="000000"/>
          <w:sz w:val="28"/>
          <w:szCs w:val="28"/>
        </w:rPr>
        <w:t>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формирование умения воспринимать и перерабатывать информацию, </w:t>
      </w:r>
      <w:r>
        <w:rPr>
          <w:rFonts w:ascii="Gungsuh" w:eastAsia="Gungsuh" w:hAnsi="Gungsuh" w:cs="Gungsuh"/>
          <w:color w:val="000000"/>
          <w:sz w:val="28"/>
          <w:szCs w:val="28"/>
        </w:rPr>
        <w:lastRenderedPageBreak/>
        <w:t>генерировать идеи,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моделировать индивидуальные подходы к обеспечению личной безопасности в повседневной жизни и в чрезвычайных ситуациях;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</w:t>
      </w:r>
      <w:r>
        <w:rPr>
          <w:rFonts w:ascii="Gungsuh" w:eastAsia="Gungsuh" w:hAnsi="Gungsuh" w:cs="Gungsuh"/>
          <w:color w:val="000000"/>
          <w:sz w:val="28"/>
          <w:szCs w:val="28"/>
        </w:rPr>
        <w:t>ичных источников и новых информационных технологий;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формирование умений взаимодействовать с окружающими,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выполнять различные социальные роли </w:t>
      </w:r>
      <w:proofErr w:type="gramStart"/>
      <w:r>
        <w:rPr>
          <w:rFonts w:ascii="Gungsuh" w:eastAsia="Gungsuh" w:hAnsi="Gungsuh" w:cs="Gungsuh"/>
          <w:color w:val="000000"/>
          <w:sz w:val="28"/>
          <w:szCs w:val="28"/>
        </w:rPr>
        <w:t>во время</w:t>
      </w:r>
      <w:proofErr w:type="gramEnd"/>
      <w:r>
        <w:rPr>
          <w:rFonts w:ascii="Gungsuh" w:eastAsia="Gungsuh" w:hAnsi="Gungsuh" w:cs="Gungsuh"/>
          <w:color w:val="000000"/>
          <w:sz w:val="28"/>
          <w:szCs w:val="28"/>
        </w:rPr>
        <w:t xml:space="preserve"> и при ликвидации последствий чрезвычайных ситуаций;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</w:t>
      </w:r>
      <w:r>
        <w:rPr>
          <w:rFonts w:ascii="Gungsuh" w:eastAsia="Gungsuh" w:hAnsi="Gungsuh" w:cs="Gungsuh"/>
          <w:color w:val="000000"/>
          <w:sz w:val="28"/>
          <w:szCs w:val="28"/>
        </w:rPr>
        <w:t>аемой из различных источников;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развитие умения применять полученные теоретические знания на практике: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формирование умения анализировать явления и события природного, техногенного и социального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характера, выявлять причины их возникновения и возможные последствия, проектировать модели личного безопасного поведения;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развитие умения информировать о результатах своих наблюдений, участвовать в дискуссии, отстаивать свою точку зрения, находить компр</w:t>
      </w:r>
      <w:r>
        <w:rPr>
          <w:rFonts w:ascii="Gungsuh" w:eastAsia="Gungsuh" w:hAnsi="Gungsuh" w:cs="Gungsuh"/>
          <w:color w:val="000000"/>
          <w:sz w:val="28"/>
          <w:szCs w:val="28"/>
        </w:rPr>
        <w:t>омиссное решение в различных ситуациях;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−− ситуаций, связанных с нарушением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работы технических средств и правил их эксплуатации;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формирование установки на здоровый образ жизни;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</w:t>
      </w:r>
      <w:r>
        <w:rPr>
          <w:rFonts w:ascii="Gungsuh" w:eastAsia="Gungsuh" w:hAnsi="Gungsuh" w:cs="Gungsuh"/>
          <w:color w:val="000000"/>
          <w:sz w:val="28"/>
          <w:szCs w:val="28"/>
        </w:rPr>
        <w:t>ые умственные и физические нагрузки</w:t>
      </w:r>
    </w:p>
    <w:p w:rsidR="001B1EBB" w:rsidRDefault="001F1D5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предметных: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</w:t>
      </w:r>
      <w:r>
        <w:rPr>
          <w:rFonts w:ascii="Gungsuh" w:eastAsia="Gungsuh" w:hAnsi="Gungsuh" w:cs="Gungsuh"/>
          <w:color w:val="000000"/>
          <w:sz w:val="28"/>
          <w:szCs w:val="28"/>
        </w:rPr>
        <w:t>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получение знания основ государственной системы, российского законодательства, направленного на защиту населения от в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нешних и </w:t>
      </w:r>
      <w:r>
        <w:rPr>
          <w:rFonts w:ascii="Gungsuh" w:eastAsia="Gungsuh" w:hAnsi="Gungsuh" w:cs="Gungsuh"/>
          <w:color w:val="000000"/>
          <w:sz w:val="28"/>
          <w:szCs w:val="28"/>
        </w:rPr>
        <w:lastRenderedPageBreak/>
        <w:t>внутренних угроз;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представлений о здоровом образе жизни как о средств</w:t>
      </w:r>
      <w:r>
        <w:rPr>
          <w:rFonts w:ascii="Gungsuh" w:eastAsia="Gungsuh" w:hAnsi="Gungsuh" w:cs="Gungsuh"/>
          <w:color w:val="000000"/>
          <w:sz w:val="28"/>
          <w:szCs w:val="28"/>
        </w:rPr>
        <w:t>е обеспечения духовного, физического и социального благополучия личности;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освоение знания факторов, пагубно влияющих на здоровье человека</w:t>
      </w:r>
      <w:r>
        <w:rPr>
          <w:rFonts w:ascii="Gungsuh" w:eastAsia="Gungsuh" w:hAnsi="Gungsuh" w:cs="Gungsuh"/>
          <w:color w:val="000000"/>
          <w:sz w:val="28"/>
          <w:szCs w:val="28"/>
        </w:rPr>
        <w:t>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формирование умения предвидеть возникновение опасных и чрезвычайных ситуаций по характерным для них признак</w:t>
      </w:r>
      <w:r>
        <w:rPr>
          <w:rFonts w:ascii="Gungsuh" w:eastAsia="Gungsuh" w:hAnsi="Gungsuh" w:cs="Gungsuh"/>
          <w:color w:val="000000"/>
          <w:sz w:val="28"/>
          <w:szCs w:val="28"/>
        </w:rPr>
        <w:t>ам, а также использовать различные информационные источники;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получение и освоение знания основ обороны государств</w:t>
      </w:r>
      <w:r>
        <w:rPr>
          <w:rFonts w:ascii="Gungsuh" w:eastAsia="Gungsuh" w:hAnsi="Gungsuh" w:cs="Gungsuh"/>
          <w:color w:val="000000"/>
          <w:sz w:val="28"/>
          <w:szCs w:val="28"/>
        </w:rPr>
        <w:t>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</w:t>
      </w:r>
      <w:r>
        <w:rPr>
          <w:rFonts w:ascii="Gungsuh" w:eastAsia="Gungsuh" w:hAnsi="Gungsuh" w:cs="Gungsuh"/>
          <w:color w:val="000000"/>
          <w:sz w:val="28"/>
          <w:szCs w:val="28"/>
        </w:rPr>
        <w:t>х ритуалов, строевой, огневой и тактической подготовки;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1B1EBB" w:rsidRDefault="001F1D5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владение осн</w:t>
      </w:r>
      <w:r>
        <w:rPr>
          <w:rFonts w:ascii="Gungsuh" w:eastAsia="Gungsuh" w:hAnsi="Gungsuh" w:cs="Gungsuh"/>
          <w:color w:val="000000"/>
          <w:sz w:val="28"/>
          <w:szCs w:val="28"/>
        </w:rPr>
        <w:t>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1B1EBB" w:rsidRDefault="001F1D59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должен:</w:t>
      </w:r>
    </w:p>
    <w:p w:rsidR="001B1EBB" w:rsidRDefault="001F1D59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и быту;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первичные средства пожаротушения;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ченной специальностью;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первую помощь пострадавшим;</w:t>
      </w:r>
    </w:p>
    <w:p w:rsidR="001B1EBB" w:rsidRDefault="001F1D59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обеспечения устойчивости объектов экономики, прогноз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потенциальных опасностей 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последствия в профессиональной деятельности и быту, принципы снижения вероятности их реализации;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военной службы и обороны государства;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ожарной безопасности и правила безопасного поведения при пожарах;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вооружения, военной техники и специального снаряжения, состоящих на вооруже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(оснащении) воинских подразделений, в которых имеются военно-учетные специальности, родственные специальностям СПО;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1B1EBB" w:rsidRDefault="001F1D59">
      <w:pPr>
        <w:widowControl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правила оказания первой помо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 пострадавшим</w:t>
      </w:r>
    </w:p>
    <w:p w:rsidR="001B1EBB" w:rsidRDefault="001B1EBB">
      <w:pPr>
        <w:widowControl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EBB" w:rsidRDefault="001F1D59">
      <w:pPr>
        <w:keepNext/>
        <w:keepLines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Рекомендуемое количество часов на освоение программы дисциплины: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ind w:left="680" w:hanging="6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Максимальной учебной нагрузки обучающегося - 70 часов, в том числе: обязательной аудиторной учебной нагрузки обучающегося - 68 часов; самостоятельной работы обучающегося - 2 часа.</w:t>
      </w:r>
      <w:r>
        <w:br w:type="page"/>
      </w:r>
    </w:p>
    <w:p w:rsidR="001B1EBB" w:rsidRDefault="001F1D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jc w:val="center"/>
      </w:pPr>
      <w:bookmarkStart w:id="9" w:name="4d34og8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СТРУКТУРА И СОДЕРЖАНИЕ УЧЕБНОЙ ДИСЦИПЛИНЫ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Основы безопасности жизнедеятельн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ости</w:t>
      </w:r>
    </w:p>
    <w:p w:rsidR="001B1EBB" w:rsidRDefault="001B1EBB">
      <w:p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1EBB" w:rsidRDefault="001F1D5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"/>
        </w:tabs>
        <w:spacing w:after="300"/>
      </w:pPr>
      <w:bookmarkStart w:id="10" w:name="2s8eyo1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Объем учебной дисциплины и виды учебной работы</w:t>
      </w:r>
    </w:p>
    <w:tbl>
      <w:tblPr>
        <w:tblStyle w:val="a6"/>
        <w:tblW w:w="94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589"/>
        <w:gridCol w:w="1867"/>
      </w:tblGrid>
      <w:tr w:rsidR="001B1EBB">
        <w:trPr>
          <w:trHeight w:val="470"/>
          <w:jc w:val="center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Вид учебной работы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Объем часов</w:t>
            </w:r>
          </w:p>
        </w:tc>
      </w:tr>
      <w:tr w:rsidR="001B1EBB">
        <w:trPr>
          <w:trHeight w:val="326"/>
          <w:jc w:val="center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</w:p>
        </w:tc>
      </w:tr>
      <w:tr w:rsidR="001B1EBB">
        <w:trPr>
          <w:trHeight w:val="331"/>
          <w:jc w:val="center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68</w:t>
            </w:r>
          </w:p>
        </w:tc>
      </w:tr>
      <w:tr w:rsidR="001B1EBB">
        <w:trPr>
          <w:trHeight w:val="326"/>
          <w:jc w:val="center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326"/>
          <w:jc w:val="center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1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теоретическое обучение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B1EBB">
        <w:trPr>
          <w:trHeight w:val="331"/>
          <w:jc w:val="center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практические занятия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</w:tr>
      <w:tr w:rsidR="001B1EBB">
        <w:trPr>
          <w:trHeight w:val="326"/>
          <w:jc w:val="center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1B1EBB">
        <w:trPr>
          <w:trHeight w:val="326"/>
          <w:jc w:val="center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430"/>
          <w:jc w:val="center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firstLine="30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написание реферата;</w:t>
            </w:r>
          </w:p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1EBB">
        <w:trPr>
          <w:trHeight w:val="446"/>
          <w:jc w:val="center"/>
        </w:trPr>
        <w:tc>
          <w:tcPr>
            <w:tcW w:w="9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дифференцированного зачета</w:t>
            </w:r>
          </w:p>
        </w:tc>
      </w:tr>
    </w:tbl>
    <w:p w:rsidR="001B1EBB" w:rsidRDefault="001B1EBB">
      <w:pPr>
        <w:sectPr w:rsidR="001B1EBB">
          <w:pgSz w:w="11900" w:h="16840"/>
          <w:pgMar w:top="1658" w:right="832" w:bottom="2224" w:left="1531" w:header="0" w:footer="3" w:gutter="0"/>
          <w:cols w:space="720"/>
        </w:sectPr>
      </w:pPr>
    </w:p>
    <w:p w:rsidR="001B1EBB" w:rsidRDefault="001F1D59">
      <w:pPr>
        <w:keepNext/>
        <w:keepLines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before="260" w:after="320"/>
        <w:ind w:firstLine="400"/>
      </w:pPr>
      <w:bookmarkStart w:id="11" w:name="26in1rg" w:colFirst="0" w:colLast="0"/>
      <w:bookmarkStart w:id="12" w:name="17dp8vu" w:colFirst="0" w:colLast="0"/>
      <w:bookmarkStart w:id="13" w:name="3rdcrjn" w:colFirst="0" w:colLast="0"/>
      <w:bookmarkStart w:id="14" w:name="lnxbz9" w:colFirst="0" w:colLast="0"/>
      <w:bookmarkEnd w:id="11"/>
      <w:bookmarkEnd w:id="12"/>
      <w:bookmarkEnd w:id="13"/>
      <w:bookmarkEnd w:id="1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Тематический план и содержание учебной дисциплины Безопасность жизнедеятельности</w:t>
      </w:r>
    </w:p>
    <w:tbl>
      <w:tblPr>
        <w:tblStyle w:val="a7"/>
        <w:tblW w:w="1543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73"/>
        <w:gridCol w:w="528"/>
        <w:gridCol w:w="9067"/>
        <w:gridCol w:w="1656"/>
        <w:gridCol w:w="1613"/>
      </w:tblGrid>
      <w:tr w:rsidR="001B1EBB">
        <w:trPr>
          <w:trHeight w:val="571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(если предусмотрены)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1B1EBB">
        <w:trPr>
          <w:trHeight w:val="293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</w:tr>
      <w:tr w:rsidR="001B1EBB">
        <w:trPr>
          <w:trHeight w:val="283"/>
          <w:jc w:val="center"/>
        </w:trPr>
        <w:tc>
          <w:tcPr>
            <w:tcW w:w="121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БЕЗОПАСНОСТЬ ЖИЗНЕДЕЯТЕЛЬНОСТИ ЧЕЛОВЕКА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288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1.</w:t>
            </w:r>
          </w:p>
        </w:tc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Безопасность человека в опасных и чрезвычайных ситуациях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EBB">
        <w:trPr>
          <w:trHeight w:val="288"/>
          <w:jc w:val="center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1.1.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Понятие среды обитания и опасности с ней связанные (1)</w:t>
            </w:r>
          </w:p>
        </w:tc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850"/>
          <w:jc w:val="center"/>
        </w:trPr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Характеристика среды обитания. Составные части среды обитания. Относительность безопасного обитания. Понятие опасности. Источники возникновения опасностей. Характер воздействия опасностей на человека. Условия комфортного существования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1EBB">
        <w:trPr>
          <w:trHeight w:val="586"/>
          <w:jc w:val="center"/>
        </w:trPr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Самостоятельная работа обучающихся (Н.В. Косолапова, Н.А. Прокопенко стр. 5-15)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Написание реферата на тему «Понятие опасности. Источники возникновения опасностей»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283"/>
          <w:jc w:val="center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1.2.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Экстремальная ситуация. Выживание, порядок действий (2)</w:t>
            </w:r>
          </w:p>
        </w:tc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1666"/>
          <w:jc w:val="center"/>
        </w:trPr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экстремальной ситуации. Разновидности экстремальных ситуаций. Автономное существование. Основные причины вынужденного автономного существования. Правила безопасного поведения в условиях вынужденного автономного существования. Преодоление страха и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озможного стрессового состояния. Факторы, способствующие их возникновению (потеря ориентировки, травма, одиночество)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1EBB">
        <w:trPr>
          <w:trHeight w:val="830"/>
          <w:jc w:val="center"/>
        </w:trPr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 (А.Т. Смирнов, Б.О. Хренников стр. 6-18)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доклада на тему «Правила безопасного поведения в условиях вынужденного автономного существования»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288"/>
          <w:jc w:val="center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1.3.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Экстремальная ситуации в городе. Экстремальная ситуация в городском жилище (3)</w:t>
            </w:r>
          </w:p>
        </w:tc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1670"/>
          <w:jc w:val="center"/>
        </w:trPr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Опасности в городе. Особенности современного городского жилища. Возможные экстремальные ситуации (заточение, пожар, разрушение и т.п.).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Электробезопасность. Опасности в городском жилище. Особенности современного городского жилища. Возможные экстремальные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итуации (заточение, пожар, разрушение и т.п.). Пожар в жилище. Возможные причины возгорания. Способы пожаротушения. Первичные средства пожаротушения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1EBB">
        <w:trPr>
          <w:trHeight w:val="184"/>
          <w:jc w:val="center"/>
        </w:trPr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302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1.4.</w:t>
            </w:r>
          </w:p>
        </w:tc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</w:tbl>
    <w:p w:rsidR="001B1EBB" w:rsidRDefault="001F1D59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8"/>
        <w:tblW w:w="1544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82"/>
        <w:gridCol w:w="528"/>
        <w:gridCol w:w="9072"/>
        <w:gridCol w:w="1651"/>
        <w:gridCol w:w="1613"/>
      </w:tblGrid>
      <w:tr w:rsidR="001B1EBB">
        <w:trPr>
          <w:trHeight w:val="850"/>
          <w:jc w:val="center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Опасности массового отдыха и развлечений в городе (4)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Специфические опасные зоны. Места массового отдыха (кинотеатры, концертные залы и площадки, спортивные сооружения). Толпа, виды толпы. Паника. Массовые погромы. Массовые зрелища и праздники.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 в толпе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B1EBB">
        <w:trPr>
          <w:trHeight w:val="576"/>
          <w:jc w:val="center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 (Л.А. Михайлов стр. 262-288)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доклада на тему «Правила безопасного поведения на улице»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EBB">
        <w:trPr>
          <w:trHeight w:val="283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2.</w:t>
            </w: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Чрезвычайные ситуации природного характера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EBB">
        <w:trPr>
          <w:trHeight w:val="288"/>
          <w:jc w:val="center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2.1.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Чрезвычайные ситуации природного характера (5)</w:t>
            </w: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1685"/>
          <w:jc w:val="center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Характеристика природных катастроф. Классификация. Закономерности.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Возможности предупреждения. Землетрясения. Шкала Рихтера. Защитные действия без возможности покинуть жилище и при покидании его. Оползни, сели, обвалы. Защитные действия. Вулканы. Поражающие факторы. Безопасное поведение. Последствия. Защита населения. Ура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ганы, тайфуны - разновидности циклонов. Время и очаги возникновения. Прогнозирование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1EBB">
        <w:trPr>
          <w:trHeight w:val="296"/>
          <w:jc w:val="center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288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3.</w:t>
            </w: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Чрезвычайные ситуации техногенного характера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EBB">
        <w:trPr>
          <w:trHeight w:val="283"/>
          <w:jc w:val="center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3.1.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Чрезвычайные ситуации техногенного характера (6)</w:t>
            </w: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840"/>
          <w:jc w:val="center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Источники ЧС техногенного характера. Классификация по типам и видам, по сложности обстановки, по тяжести последствий, по масштабу распространения. Типовые фазы аварий. Направления минимизации риска ЧС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B1EBB">
        <w:trPr>
          <w:trHeight w:val="581"/>
          <w:jc w:val="center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Самостоятельная работа обучающихся (А.Т. Смирнов, Б.О. Хренников стр. 46-55)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Работа с конспектом лекции и литературой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288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4.</w:t>
            </w: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Основы медицинских знаний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EBB">
        <w:trPr>
          <w:trHeight w:val="288"/>
          <w:jc w:val="center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4.1.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Здоровье человека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(7)</w:t>
            </w: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1118"/>
          <w:jc w:val="center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Определения здоровья. Уровни здоровья в медико-социальных исследованиях.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Соматическое здоровье. Физическое здоровье. Психическое здоровье. Нравственное здоровье. Показатели и факторы здоровья. Здравоохранение. Всемирная организация здравоохранения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B1EBB">
        <w:trPr>
          <w:trHeight w:val="281"/>
          <w:jc w:val="center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</w:tbl>
    <w:p w:rsidR="001B1EBB" w:rsidRDefault="001F1D59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9"/>
        <w:tblW w:w="1544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78"/>
        <w:gridCol w:w="533"/>
        <w:gridCol w:w="9072"/>
        <w:gridCol w:w="1651"/>
        <w:gridCol w:w="1608"/>
      </w:tblGrid>
      <w:tr w:rsidR="001B1EBB">
        <w:trPr>
          <w:trHeight w:val="302"/>
          <w:jc w:val="center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Тема 4.2.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Первая доврачебная помощь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(8)</w:t>
            </w:r>
          </w:p>
        </w:tc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4"/>
                <w:tab w:val="left" w:pos="1252"/>
              </w:tabs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1B1EBB">
        <w:trPr>
          <w:trHeight w:val="1109"/>
          <w:jc w:val="center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Правила оказания доврачебной помощи. Виды кровотечений. Методы остановки кровотечений. Правила наложения жгута. Понятие травмы, раны. Характеристика ран. Понятие об ушибе, вывихе, растяжении связок. Повязки, правила наложения. Способы оказания первой медиц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инской помощи при переломах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B1EBB">
        <w:trPr>
          <w:trHeight w:val="283"/>
          <w:jc w:val="center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(9) Практическое занятие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562"/>
          <w:jc w:val="center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методов остановки кровотечений, наложение жгута. Отработка методов наложения шин при переломах и повязок при вывихах и растяжениях, ушибах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EBB">
        <w:trPr>
          <w:trHeight w:val="303"/>
          <w:jc w:val="center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EBB">
        <w:trPr>
          <w:trHeight w:val="293"/>
          <w:jc w:val="center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4.3.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Вредные привычки: курение, алкоголизм, наркомания, токсикомания. Здоровый образ жизни (Ю)</w:t>
            </w:r>
          </w:p>
        </w:tc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1392"/>
          <w:jc w:val="center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Вредные привычки. Компоненты табака, разрушающие здоровье. Алкогольная зависимость. Формирование наркозависимости. Клинические признаки. Виды наркомании и токсикомании. Социальная опасность и тяжелые последствия для здоровья. Двигательная активность, закал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ивание. Рациональное питание. Значение двигательной активности для жизнедеятельности человека, его здоровья. Закаливание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1EBB">
        <w:trPr>
          <w:trHeight w:val="304"/>
          <w:jc w:val="center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283"/>
          <w:jc w:val="center"/>
        </w:trPr>
        <w:tc>
          <w:tcPr>
            <w:tcW w:w="121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ОСНОВЫ ВОЕННОЙ СЛУЖБЫ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EBB">
        <w:trPr>
          <w:trHeight w:val="283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5.</w:t>
            </w:r>
          </w:p>
        </w:tc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Основы обороны государства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EBB">
        <w:trPr>
          <w:trHeight w:val="288"/>
          <w:jc w:val="center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5.1.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Оборона государства - система мер по защите его целостности и неприкосновенности (И)</w:t>
            </w:r>
          </w:p>
        </w:tc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845"/>
          <w:jc w:val="center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Конституция Российской Федерации об организации обороны государства.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Концепция национальной безопасности Российской Федерации. Военная доктрина Российской Федерации. Федеральный закон Российской Федерации «Об обороне»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1EBB">
        <w:trPr>
          <w:trHeight w:val="289"/>
          <w:jc w:val="center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283"/>
          <w:jc w:val="center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5.2.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Вооруженные Силы Российской Федерации</w:t>
            </w:r>
          </w:p>
        </w:tc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850"/>
          <w:jc w:val="center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 создания Российских Вооруженных Сил. Виды Вооруженных Сил, рода войск, история их создания. Основные задачи современных Вооруженных Сил России. Воинские звания ВС и ВМФ. Погоны и знаки отличия. Ордена и медали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1B1EBB" w:rsidRDefault="001F1D59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a"/>
        <w:tblW w:w="154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02"/>
        <w:gridCol w:w="518"/>
        <w:gridCol w:w="9082"/>
        <w:gridCol w:w="1661"/>
        <w:gridCol w:w="1608"/>
      </w:tblGrid>
      <w:tr w:rsidR="001B1EBB">
        <w:trPr>
          <w:trHeight w:val="28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(12)</w:t>
            </w: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288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6.</w:t>
            </w: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Воинская обязанность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EBB">
        <w:trPr>
          <w:trHeight w:val="283"/>
          <w:jc w:val="center"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6.1.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понятия воинской обязанности (13)</w:t>
            </w: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845"/>
          <w:jc w:val="center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 воинской обязанности. Федеральный закон «О воинской обязанности и военной службе». Этапы воинской службы. Должности Вооружённых сил Российской Федерации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B1EBB">
        <w:trPr>
          <w:trHeight w:val="295"/>
          <w:jc w:val="center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288"/>
          <w:jc w:val="center"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6.2.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Организация воинского учета (14)</w:t>
            </w: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571"/>
          <w:jc w:val="center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воинского учета и его предназначение. Обязанности граждан по воинскому учету. Документы по воинскому учету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1EBB">
        <w:trPr>
          <w:trHeight w:val="283"/>
          <w:jc w:val="center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293"/>
          <w:jc w:val="center"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6.3.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Организация медицинского освидетельствования граждан при постановке на воинский учет (15)</w:t>
            </w: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1387"/>
          <w:jc w:val="center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Комплектование вооруженных сил Российской Федерации здоровыми гражданами. Медицинское освидетельствование при постановке на воинский учёт. Состав комиссии по постановке граждан на воинский учет. Категории годности к военной службе («а», «б», «в», «г», «д»)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Уровень состояния здоровья призывников. Распределение призывников в зависимости от состояния здоровья по родам войск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1EBB">
        <w:trPr>
          <w:trHeight w:val="297"/>
          <w:jc w:val="center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EBB">
        <w:trPr>
          <w:trHeight w:val="307"/>
          <w:jc w:val="center"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6.4.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Правовые основы военной службы (16)</w:t>
            </w:r>
          </w:p>
        </w:tc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1406"/>
          <w:jc w:val="center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Федеральный закон «Об обороне». Конституция Российской Федерации (статьи 59, 80, 82). Федеральный закон «О статусе военнослужащих». Федеральный закон «О воинской обязанности и военной службе». Федеральный закон «О внесении изменений в отдельные законодател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ьные акты РФ в связи с сокращением срока военной службы по призыву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1B1EBB" w:rsidRDefault="001F1D59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b"/>
        <w:tblW w:w="1546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82"/>
        <w:gridCol w:w="523"/>
        <w:gridCol w:w="9085"/>
        <w:gridCol w:w="1656"/>
        <w:gridCol w:w="1623"/>
      </w:tblGrid>
      <w:tr w:rsidR="001B1EBB">
        <w:trPr>
          <w:trHeight w:val="286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317"/>
          <w:jc w:val="center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6.5.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подготовка к военной службе (17)</w:t>
            </w:r>
          </w:p>
        </w:tc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1675"/>
          <w:jc w:val="center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Обязательная подготовка граждан к военной службе. Получение начальных знаний в области обороны. Подготовка по основам военной службы в образовательных организациях среднего общего образования или среднего профессионального образования (в ред. Федерального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закона от 02.07.2013 N 185-ФЗ). Военно- патриотическое воспитание. Подготовку по военно-учетным специальностям солдат, матросов, сержантов и старшин по направлению военного комиссариата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1EBB">
        <w:trPr>
          <w:trHeight w:val="275"/>
          <w:jc w:val="center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EBB">
        <w:trPr>
          <w:trHeight w:val="288"/>
          <w:jc w:val="center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6.6.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Добровольная подготовка к военной службе (18)</w:t>
            </w:r>
          </w:p>
        </w:tc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1387"/>
          <w:jc w:val="center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Добровольная подготовка граждан к военной службе. Периоды подготовки граждан к военной службе. Занятие военно-прикладными видами спорта. Обучение по дополнительным образовательным программам (кадетские классы, группы, корпуса). Обучение по программе подгот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овки офицеров запаса на военных кафедрах в вузах. Обучение водителей в обществах ДОСААФ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1EBB">
        <w:trPr>
          <w:trHeight w:val="318"/>
          <w:jc w:val="center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283"/>
          <w:jc w:val="center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6.7. Прохождение военной службы по призыву (19) ‘</w:t>
            </w:r>
          </w:p>
        </w:tc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571"/>
          <w:jc w:val="center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Весенний призыв. Осенний призыв. Группа профессионального отбора. Категории граждан, освобожденных от призыва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1EBB">
        <w:trPr>
          <w:trHeight w:val="278"/>
          <w:jc w:val="center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1B1EBB">
        <w:trPr>
          <w:trHeight w:val="288"/>
          <w:jc w:val="center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6.8.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Прохождение военной службы по контракту и на офицерских должностях</w:t>
            </w:r>
          </w:p>
        </w:tc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1B1EBB">
        <w:trPr>
          <w:trHeight w:val="1406"/>
          <w:jc w:val="center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Отбор кандидатов для прохождения военной службы по контракту. ВВК военного комиссариата субъекта РФ. Профпригодность к военной службе по контракту. Категории годности. Сроки прохождения военной службы по контракту. Подготовка и поступление в военные образо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вательные учреждения профессионального образования. Порядок прохождения службы на офицерских должностях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1B1EBB" w:rsidRDefault="001F1D59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c"/>
        <w:tblW w:w="1546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97"/>
        <w:gridCol w:w="518"/>
        <w:gridCol w:w="9058"/>
        <w:gridCol w:w="24"/>
        <w:gridCol w:w="1627"/>
        <w:gridCol w:w="34"/>
        <w:gridCol w:w="869"/>
        <w:gridCol w:w="302"/>
        <w:gridCol w:w="398"/>
        <w:gridCol w:w="34"/>
      </w:tblGrid>
      <w:tr w:rsidR="001B1EBB">
        <w:trPr>
          <w:trHeight w:val="286"/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(20)</w:t>
            </w:r>
          </w:p>
        </w:tc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557"/>
          <w:jc w:val="center"/>
        </w:trPr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6.9.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Вооружение и военная техника Вооружённых Сил Российской Федерации (21)</w:t>
            </w:r>
          </w:p>
        </w:tc>
        <w:tc>
          <w:tcPr>
            <w:tcW w:w="9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Вооружение и военная техника Сухопутных войск (СВ). Вооружение и военная техника Военно-воздушных сил (ВВС). Вооружение и военная техника Военно-воздушных сил (ВВС). Вооружение и военная техника Военно-морской флот (ВМФ). Вооружение и военная техника Ракет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войск стратегического назначения (РВСН)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EBB">
        <w:trPr>
          <w:trHeight w:val="835"/>
          <w:jc w:val="center"/>
        </w:trPr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B1EBB">
        <w:trPr>
          <w:trHeight w:val="1104"/>
          <w:jc w:val="center"/>
        </w:trPr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154"/>
          <w:jc w:val="center"/>
        </w:trPr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60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80"/>
          <w:jc w:val="center"/>
        </w:trPr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60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298"/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6.10.</w:t>
            </w:r>
          </w:p>
        </w:tc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557"/>
          <w:jc w:val="center"/>
        </w:trPr>
        <w:tc>
          <w:tcPr>
            <w:tcW w:w="25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Огневая подготовка (22)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1EBB">
        <w:trPr>
          <w:trHeight w:val="293"/>
          <w:jc w:val="center"/>
        </w:trPr>
        <w:tc>
          <w:tcPr>
            <w:tcW w:w="25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задание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rPr>
                <w:sz w:val="10"/>
                <w:szCs w:val="10"/>
              </w:rPr>
            </w:pPr>
          </w:p>
        </w:tc>
      </w:tr>
      <w:tr w:rsidR="001B1EBB">
        <w:trPr>
          <w:trHeight w:val="298"/>
          <w:jc w:val="center"/>
        </w:trPr>
        <w:tc>
          <w:tcPr>
            <w:tcW w:w="25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(23)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Неполная разборка-сборка автомата Калашникова АК-74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EBB">
        <w:trPr>
          <w:trHeight w:val="288"/>
          <w:jc w:val="center"/>
        </w:trPr>
        <w:tc>
          <w:tcPr>
            <w:tcW w:w="25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(24)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Отработка навыков огневой подготовки. Стрельба из пневматической винтовки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EBB">
        <w:trPr>
          <w:trHeight w:val="354"/>
          <w:jc w:val="center"/>
        </w:trPr>
        <w:tc>
          <w:tcPr>
            <w:tcW w:w="25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EBB">
        <w:trPr>
          <w:gridAfter w:val="1"/>
          <w:wAfter w:w="34" w:type="dxa"/>
          <w:trHeight w:val="432"/>
          <w:jc w:val="center"/>
        </w:trPr>
        <w:tc>
          <w:tcPr>
            <w:tcW w:w="1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16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B1EBB" w:rsidRDefault="001B1EBB"/>
        </w:tc>
      </w:tr>
    </w:tbl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1B1EBB" w:rsidRDefault="001F1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86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 ознакомительный (узнавание ранее изученных объектов, свойств);</w:t>
      </w:r>
    </w:p>
    <w:p w:rsidR="001B1EBB" w:rsidRDefault="001F1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3"/>
        </w:tabs>
        <w:ind w:left="86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 репродуктивный (выполнение деятельности по образцу, инструкции или под руководством);</w:t>
      </w:r>
    </w:p>
    <w:p w:rsidR="001B1EBB" w:rsidRDefault="001F1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ind w:left="86"/>
        <w:sectPr w:rsidR="001B1EBB">
          <w:footerReference w:type="default" r:id="rId10"/>
          <w:pgSz w:w="16840" w:h="11900" w:orient="landscape"/>
          <w:pgMar w:top="763" w:right="399" w:bottom="1313" w:left="971" w:header="335" w:footer="3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 продуктивный (планирование и самостоятельное выполнение деятельности, решение проблемных задач).</w:t>
      </w:r>
    </w:p>
    <w:p w:rsidR="001B1EBB" w:rsidRDefault="001F1D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</w:tabs>
        <w:jc w:val="center"/>
      </w:pPr>
      <w:bookmarkStart w:id="15" w:name="35nkun2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УСЛОВИЯ РЕАЛИЗАЦИИ ПРОГРАММЫ ДИСЦИПЛИНЫ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tabs>
          <w:tab w:val="left" w:pos="387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Основы безопасности жизнедеятельности</w:t>
      </w:r>
    </w:p>
    <w:p w:rsidR="001B1EBB" w:rsidRDefault="001B1EBB">
      <w:pPr>
        <w:pBdr>
          <w:top w:val="nil"/>
          <w:left w:val="nil"/>
          <w:bottom w:val="nil"/>
          <w:right w:val="nil"/>
          <w:between w:val="nil"/>
        </w:pBdr>
        <w:tabs>
          <w:tab w:val="left" w:pos="387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1EBB" w:rsidRDefault="001F1D59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6" w:name="2jxsxqh" w:colFirst="0" w:colLast="0"/>
      <w:bookmarkStart w:id="17" w:name="1ksv4uv" w:colFirst="0" w:colLast="0"/>
      <w:bookmarkStart w:id="18" w:name="44sinio" w:colFirst="0" w:colLast="0"/>
      <w:bookmarkEnd w:id="16"/>
      <w:bookmarkEnd w:id="17"/>
      <w:bookmarkEnd w:id="18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3.1. Требования к минимальному материально-техническому обеспечению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spacing w:after="3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программы дисциплины требует наличия учебного кабинета Основ безопасности жизнедеятельности.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Оборудование учебного кабинета:</w:t>
      </w:r>
    </w:p>
    <w:p w:rsidR="001B1EBB" w:rsidRDefault="001F1D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</w:pPr>
      <w:bookmarkStart w:id="19" w:name="z337ya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стенд «Чрезвычайные ситуации природного и техногенного характера»;</w:t>
      </w:r>
    </w:p>
    <w:p w:rsidR="001B1EBB" w:rsidRDefault="001F1D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</w:pPr>
      <w:bookmarkStart w:id="20" w:name="3j2qqm3" w:colFirst="0" w:colLast="0"/>
      <w:bookmarkEnd w:id="2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стенд «Безопасность образовательного учреждения»;</w:t>
      </w:r>
    </w:p>
    <w:p w:rsidR="001B1EBB" w:rsidRDefault="001F1D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</w:pPr>
      <w:bookmarkStart w:id="21" w:name="1y810tw" w:colFirst="0" w:colLast="0"/>
      <w:bookmarkEnd w:id="2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стенды по разделу ОБЖ «Основы медицинских знаний»:</w:t>
      </w:r>
    </w:p>
    <w:p w:rsidR="001B1EBB" w:rsidRDefault="001F1D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1"/>
        </w:tabs>
        <w:ind w:left="1040"/>
      </w:pPr>
      <w:bookmarkStart w:id="22" w:name="4i7ojhp" w:colFirst="0" w:colLast="0"/>
      <w:bookmarkEnd w:id="2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«Первая медицинская помощь при кровотечениях»,</w:t>
      </w:r>
    </w:p>
    <w:p w:rsidR="001B1EBB" w:rsidRDefault="001F1D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1"/>
        </w:tabs>
        <w:ind w:left="1380" w:hanging="340"/>
      </w:pPr>
      <w:bookmarkStart w:id="23" w:name="2xcytpi" w:colFirst="0" w:colLast="0"/>
      <w:bookmarkEnd w:id="2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«Первая медицинская помощь при ранениях груди, живота, области таза»,</w:t>
      </w:r>
    </w:p>
    <w:p w:rsidR="001B1EBB" w:rsidRDefault="001F1D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1"/>
        </w:tabs>
        <w:spacing w:after="320"/>
        <w:ind w:left="1380" w:hanging="340"/>
      </w:pPr>
      <w:bookmarkStart w:id="24" w:name="1ci93xb" w:colFirst="0" w:colLast="0"/>
      <w:bookmarkEnd w:id="2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«Первая медицинская помощь при растяжениях, вывихах, переломах»,</w:t>
      </w:r>
    </w:p>
    <w:p w:rsidR="001B1EBB" w:rsidRDefault="001F1D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</w:pPr>
      <w:bookmarkStart w:id="25" w:name="3whwml4" w:colFirst="0" w:colLast="0"/>
      <w:bookmarkEnd w:id="25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плакаты по разделу «Основы военной службы»:</w:t>
      </w:r>
    </w:p>
    <w:p w:rsidR="001B1EBB" w:rsidRDefault="001F1D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</w:tabs>
        <w:ind w:firstLine="900"/>
      </w:pPr>
      <w:bookmarkStart w:id="26" w:name="2bn6wsx" w:colFirst="0" w:colLast="0"/>
      <w:bookmarkEnd w:id="26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«Общевоинские уставы вооруженных сил - закон воинской жизни»,</w:t>
      </w:r>
    </w:p>
    <w:p w:rsidR="001B1EBB" w:rsidRDefault="001F1D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</w:tabs>
        <w:ind w:firstLine="900"/>
      </w:pPr>
      <w:bookmarkStart w:id="27" w:name="qsh70q" w:colFirst="0" w:colLast="0"/>
      <w:bookmarkEnd w:id="27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«Воинские звания в вооруженных силах Российской Федерации»,</w:t>
      </w:r>
    </w:p>
    <w:p w:rsidR="001B1EBB" w:rsidRDefault="001F1D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</w:tabs>
        <w:spacing w:after="320"/>
        <w:ind w:firstLine="900"/>
      </w:pPr>
      <w:bookmarkStart w:id="28" w:name="3as4poj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«Виды и рода войск вооруженных сил».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Технические средства обучения:</w:t>
      </w:r>
    </w:p>
    <w:p w:rsidR="001B1EBB" w:rsidRDefault="001F1D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</w:pPr>
      <w:bookmarkStart w:id="29" w:name="1pxezwc" w:colFirst="0" w:colLast="0"/>
      <w:bookmarkEnd w:id="2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макеты автоматов АК - 74;</w:t>
      </w:r>
    </w:p>
    <w:p w:rsidR="001B1EBB" w:rsidRDefault="001F1D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</w:pPr>
      <w:bookmarkStart w:id="30" w:name="49x2ik5" w:colFirst="0" w:colLast="0"/>
      <w:bookmarkEnd w:id="3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противогазы;</w:t>
      </w:r>
    </w:p>
    <w:p w:rsidR="001B1EBB" w:rsidRDefault="001F1D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</w:pPr>
      <w:bookmarkStart w:id="31" w:name="2p2csry" w:colFirst="0" w:colLast="0"/>
      <w:bookmarkEnd w:id="3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пневматические винтовки;</w:t>
      </w:r>
    </w:p>
    <w:p w:rsidR="001B1EBB" w:rsidRDefault="001F1D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</w:pPr>
      <w:bookmarkStart w:id="32" w:name="147n2zr" w:colFirst="0" w:colLast="0"/>
      <w:bookmarkEnd w:id="3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компьютер;</w:t>
      </w:r>
    </w:p>
    <w:p w:rsidR="001B1EBB" w:rsidRDefault="001F1D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</w:pPr>
      <w:bookmarkStart w:id="33" w:name="3o7alnk" w:colFirst="0" w:colLast="0"/>
      <w:bookmarkEnd w:id="3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мультимедийный проектор;</w:t>
      </w:r>
    </w:p>
    <w:p w:rsidR="001B1EBB" w:rsidRDefault="001F1D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</w:pPr>
      <w:bookmarkStart w:id="34" w:name="23ckvvd" w:colFirst="0" w:colLast="0"/>
      <w:bookmarkEnd w:id="3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экран;</w:t>
      </w:r>
    </w:p>
    <w:p w:rsidR="001B1EBB" w:rsidRDefault="001F1D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</w:pPr>
      <w:bookmarkStart w:id="35" w:name="ihv636" w:colFirst="0" w:colLast="0"/>
      <w:bookmarkEnd w:id="35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аудиосистема;</w:t>
      </w:r>
    </w:p>
    <w:p w:rsidR="001B1EBB" w:rsidRDefault="001F1D5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</w:pPr>
      <w:bookmarkStart w:id="36" w:name="32hioqz" w:colFirst="0" w:colLast="0"/>
      <w:bookmarkEnd w:id="36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меловая доска.</w:t>
      </w:r>
    </w:p>
    <w:p w:rsidR="001B1EBB" w:rsidRDefault="001F1D59">
      <w:pPr>
        <w:rPr>
          <w:rFonts w:ascii="Times New Roman" w:eastAsia="Times New Roman" w:hAnsi="Times New Roman" w:cs="Times New Roman"/>
          <w:sz w:val="26"/>
          <w:szCs w:val="26"/>
        </w:rPr>
        <w:sectPr w:rsidR="001B1EBB">
          <w:footerReference w:type="default" r:id="rId11"/>
          <w:pgSz w:w="11900" w:h="16840"/>
          <w:pgMar w:top="2042" w:right="805" w:bottom="2204" w:left="1553" w:header="1614" w:footer="3" w:gutter="0"/>
          <w:cols w:space="720"/>
        </w:sectPr>
      </w:pPr>
      <w:r>
        <w:br w:type="page"/>
      </w:r>
    </w:p>
    <w:p w:rsidR="001B1EBB" w:rsidRDefault="001F1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9"/>
        </w:tabs>
        <w:spacing w:after="60"/>
      </w:pPr>
      <w:bookmarkStart w:id="37" w:name="1hmsyys" w:colFirst="0" w:colLast="0"/>
      <w:bookmarkEnd w:id="3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Информационное обеспечение обучения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1B1EBB" w:rsidRDefault="001F1D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ind w:firstLine="6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8" w:name="vx1227" w:colFirst="0" w:colLast="0"/>
      <w:bookmarkStart w:id="39" w:name="2grqrue" w:colFirst="0" w:colLast="0"/>
      <w:bookmarkStart w:id="40" w:name="41mghml" w:colFirst="0" w:colLast="0"/>
      <w:bookmarkEnd w:id="38"/>
      <w:bookmarkEnd w:id="39"/>
      <w:bookmarkEnd w:id="4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Основные источники:</w:t>
      </w:r>
    </w:p>
    <w:p w:rsidR="001B1EBB" w:rsidRDefault="001F1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200"/>
        <w:ind w:left="660" w:hanging="340"/>
        <w:jc w:val="both"/>
      </w:pPr>
      <w:bookmarkStart w:id="41" w:name="3fwokq0" w:colFirst="0" w:colLast="0"/>
      <w:bookmarkEnd w:id="4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Основы безопасности жизнедеятельности: учебник для нач. и сред. проф. образования / Н.В. Косолапова, Н.А. Прокопенко - М.: Издательский центр «Академия», 2014. - 336 с.</w:t>
      </w:r>
    </w:p>
    <w:p w:rsidR="001B1EBB" w:rsidRDefault="001F1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200"/>
        <w:ind w:left="660" w:hanging="340"/>
        <w:jc w:val="both"/>
      </w:pPr>
      <w:bookmarkStart w:id="42" w:name="1v1yuxt" w:colFirst="0" w:colLast="0"/>
      <w:bookmarkEnd w:id="4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Основы безопасности жизнедеятельности: учеб, для учащихся 10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учрежде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/ А. Т. Смирнов, Б. О. Хренников; под общ. ред. А. Т. Смирнова, издательство: 5-е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- М.: Просвещение, 2013. —361 с.</w:t>
      </w:r>
    </w:p>
    <w:p w:rsidR="001B1EBB" w:rsidRDefault="001F1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200"/>
        <w:ind w:left="660" w:hanging="340"/>
        <w:jc w:val="both"/>
      </w:pPr>
      <w:bookmarkStart w:id="43" w:name="4f1mdlm" w:colFirst="0" w:colLast="0"/>
      <w:bookmarkEnd w:id="4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Безопасность жизнедеятельности: учебник для вузов, 2-е изд. / Л.А. Михайлов и др.; под редакцией Л.А. Михайлова - СПб.: Пи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тер, 2012. — 461 с.: ил. ISBN 978-5-459-00940-8</w:t>
      </w:r>
    </w:p>
    <w:p w:rsidR="001B1EBB" w:rsidRDefault="001F1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200"/>
        <w:ind w:left="660" w:hanging="340"/>
        <w:jc w:val="both"/>
      </w:pPr>
      <w:bookmarkStart w:id="44" w:name="2u6wntf" w:colFirst="0" w:colLast="0"/>
      <w:bookmarkEnd w:id="4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Основы военной службы: учеб, пособие / А.Т. Смирнов, В.А. Васнев, - 2- е издание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стеротип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-М.: Дрофа, 2017. -239 с. ISBN 978-5-358-02382-6</w:t>
      </w:r>
    </w:p>
    <w:p w:rsidR="001B1EBB" w:rsidRDefault="001F1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200" w:line="252" w:lineRule="auto"/>
        <w:ind w:left="660" w:hanging="340"/>
        <w:jc w:val="both"/>
      </w:pPr>
      <w:bookmarkStart w:id="45" w:name="19c6y18" w:colFirst="0" w:colLast="0"/>
      <w:bookmarkEnd w:id="45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Основы безопасности жизнедеятельности: учеб,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учре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ждений / В.В. Марков, В.Н.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С.К. Миронов, С.Н.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Вангородский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- 13-е изд. Стереотип. -М.: Дрофа, 2015. - 302 с. ISBN 978- 5-358-12179-9</w:t>
      </w:r>
    </w:p>
    <w:p w:rsidR="001B1EBB" w:rsidRDefault="001F1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200"/>
        <w:ind w:left="660" w:hanging="340"/>
        <w:jc w:val="both"/>
      </w:pPr>
      <w:bookmarkStart w:id="46" w:name="3tbugp1" w:colFirst="0" w:colLast="0"/>
      <w:bookmarkEnd w:id="46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Основы безопасности жизнедеятельности: 11-й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0-75 учеб,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учреждений / М.П. Фролов, Е.Н. Литви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нов, А.Т. Смирнов и др.; под ред. Ю.Л. Воробьёва - 2-е изд.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доп.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2013. - 318 с. ISBN 978-5-271-13969-7</w:t>
      </w:r>
    </w:p>
    <w:p w:rsidR="001B1EBB" w:rsidRDefault="001F1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200" w:line="252" w:lineRule="auto"/>
        <w:ind w:left="660" w:hanging="340"/>
        <w:jc w:val="both"/>
      </w:pPr>
      <w:bookmarkStart w:id="47" w:name="28h4qwu" w:colFirst="0" w:colLast="0"/>
      <w:bookmarkEnd w:id="47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Основы безопасности жизнедеятельности: учеб, для учащихся 10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/ А.Т. Смирнов, Б.И. Мишин, В.А. Васнев;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 ред. А.Т. Смирнова. - 9-е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- М., 2011. - 176 с. ISBN 978-5- 09-021826-9</w:t>
      </w:r>
    </w:p>
    <w:p w:rsidR="001B1EBB" w:rsidRDefault="001F1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200"/>
        <w:ind w:left="660" w:hanging="340"/>
        <w:jc w:val="both"/>
      </w:pPr>
      <w:bookmarkStart w:id="48" w:name="nmf14n" w:colFirst="0" w:colLast="0"/>
      <w:bookmarkEnd w:id="48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Общевоинские уставы Вооружённых сил Российской Федерации - 2016. -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М.: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2016. -736 с.</w:t>
      </w:r>
    </w:p>
    <w:p w:rsidR="001B1EBB" w:rsidRDefault="001F1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200"/>
        <w:ind w:left="660" w:hanging="340"/>
        <w:jc w:val="both"/>
      </w:pPr>
      <w:bookmarkStart w:id="49" w:name="37m2jsg" w:colFirst="0" w:colLast="0"/>
      <w:bookmarkEnd w:id="4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Армия государства Российского и защита Отечества / Под ред. В.В. Смирнова.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М.: Просвещение, 2014. - 208 с.</w:t>
      </w:r>
    </w:p>
    <w:p w:rsidR="001B1EBB" w:rsidRDefault="001F1D59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1B1EBB" w:rsidRDefault="001F1D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/>
        <w:ind w:firstLine="8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50" w:name="2lwamvv" w:colFirst="0" w:colLast="0"/>
      <w:bookmarkStart w:id="51" w:name="1mrcu09" w:colFirst="0" w:colLast="0"/>
      <w:bookmarkStart w:id="52" w:name="46r0co2" w:colFirst="0" w:colLast="0"/>
      <w:bookmarkEnd w:id="50"/>
      <w:bookmarkEnd w:id="51"/>
      <w:bookmarkEnd w:id="5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Дополнительные источники:</w:t>
      </w:r>
    </w:p>
    <w:p w:rsidR="001B1EBB" w:rsidRDefault="001F1D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4"/>
        </w:tabs>
        <w:ind w:firstLine="320"/>
        <w:jc w:val="both"/>
      </w:pPr>
      <w:bookmarkStart w:id="53" w:name="111kx3o" w:colFirst="0" w:colLast="0"/>
      <w:bookmarkEnd w:id="5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Федеральные законы «О статусе военнослужащих», «О воинской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spacing w:after="200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льства Российской Федерации: официальное издание. - М., 1993—2017.</w:t>
      </w:r>
    </w:p>
    <w:p w:rsidR="001B1EBB" w:rsidRDefault="001F1D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after="200"/>
        <w:ind w:firstLine="320"/>
        <w:jc w:val="both"/>
      </w:pPr>
      <w:bookmarkStart w:id="54" w:name="3l18frh" w:colFirst="0" w:colLast="0"/>
      <w:bookmarkEnd w:id="5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Большой энциклопедический словарь. - М., 2014.</w:t>
      </w:r>
    </w:p>
    <w:p w:rsidR="001B1EBB" w:rsidRDefault="001F1D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after="200"/>
        <w:ind w:left="740" w:hanging="420"/>
        <w:jc w:val="both"/>
      </w:pPr>
      <w:bookmarkStart w:id="55" w:name="206ipza" w:colFirst="0" w:colLast="0"/>
      <w:bookmarkEnd w:id="55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Васнев В.А. Основы подготовки к военной службе: Кн. для учителя / В.А. Васнев, С.А. Чиненный. — М., 2011.</w:t>
      </w:r>
    </w:p>
    <w:p w:rsidR="001B1EBB" w:rsidRDefault="001F1D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ind w:firstLine="320"/>
        <w:jc w:val="both"/>
      </w:pPr>
      <w:bookmarkStart w:id="56" w:name="4k668n3" w:colFirst="0" w:colLast="0"/>
      <w:bookmarkEnd w:id="56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Военная доктрина Российской Федерации // Вестник военной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информации. - 2008 - № 5.</w:t>
      </w:r>
    </w:p>
    <w:p w:rsidR="001B1EBB" w:rsidRDefault="001F1D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ind w:firstLine="320"/>
        <w:jc w:val="both"/>
      </w:pPr>
      <w:bookmarkStart w:id="57" w:name="2zbgiuw" w:colFirst="0" w:colLast="0"/>
      <w:bookmarkEnd w:id="57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Дуров В.А. Русские награды XVIII — начала XX в. / В.А. Дуров. - 2-е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изд., доп. - М., 2009.</w:t>
      </w:r>
    </w:p>
    <w:p w:rsidR="001B1EBB" w:rsidRDefault="001F1D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after="200"/>
        <w:ind w:left="740" w:hanging="420"/>
        <w:jc w:val="both"/>
      </w:pPr>
      <w:bookmarkStart w:id="58" w:name="1egqt2p" w:colFirst="0" w:colLast="0"/>
      <w:bookmarkEnd w:id="58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Дуров В.А. Отечественные награды / В.А. Дуров. — М.: Просвещение, 2011.</w:t>
      </w:r>
    </w:p>
    <w:p w:rsidR="001B1EBB" w:rsidRDefault="001F1D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after="200"/>
        <w:ind w:firstLine="320"/>
        <w:jc w:val="both"/>
      </w:pPr>
      <w:bookmarkStart w:id="59" w:name="3ygebqi" w:colFirst="0" w:colLast="0"/>
      <w:bookmarkEnd w:id="5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Конституция Российской Федерации (действующая редакция)</w:t>
      </w:r>
    </w:p>
    <w:p w:rsidR="001B1EBB" w:rsidRDefault="001F1D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after="200"/>
        <w:ind w:left="740" w:hanging="420"/>
        <w:jc w:val="both"/>
      </w:pPr>
      <w:bookmarkStart w:id="60" w:name="2dlolyb" w:colFirst="0" w:colLast="0"/>
      <w:bookmarkEnd w:id="6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Интернет-ресурсы. Безопасность жизнедеятельности. Форма доступа http: //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allegd.ru/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/saf.htm</w:t>
      </w:r>
    </w:p>
    <w:p w:rsidR="001B1EBB" w:rsidRDefault="001F1D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ind w:firstLine="320"/>
        <w:jc w:val="both"/>
      </w:pPr>
      <w:bookmarkStart w:id="61" w:name="sqyw64" w:colFirst="0" w:colLast="0"/>
      <w:bookmarkEnd w:id="6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Интернет-ресурсы. Безопасность жизнедеятельности: конспект лекций.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Крюков Р.Ф. Форма доступа http: //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knigafound.ru/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books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/52234</w:t>
      </w:r>
    </w:p>
    <w:p w:rsidR="001B1EBB" w:rsidRDefault="001F1D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</w:tabs>
        <w:spacing w:after="200"/>
        <w:ind w:left="740" w:hanging="420"/>
        <w:jc w:val="both"/>
      </w:pPr>
      <w:bookmarkStart w:id="62" w:name="3cqmetx" w:colFirst="0" w:colLast="0"/>
      <w:bookmarkEnd w:id="6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Интернет-ресурсы. Безопасность. Образование. Человек. Форма доступа http: //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bezopasnost.edu 66/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br w:type="page"/>
      </w:r>
    </w:p>
    <w:p w:rsidR="001B1EBB" w:rsidRDefault="001F1D59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</w:pPr>
      <w:bookmarkStart w:id="63" w:name="1664s55" w:colFirst="0" w:colLast="0"/>
      <w:bookmarkStart w:id="64" w:name="2r0uhxc" w:colFirst="0" w:colLast="0"/>
      <w:bookmarkStart w:id="65" w:name="1rvwp1q" w:colFirst="0" w:colLast="0"/>
      <w:bookmarkStart w:id="66" w:name="4bvk7pj" w:colFirst="0" w:colLast="0"/>
      <w:bookmarkEnd w:id="63"/>
      <w:bookmarkEnd w:id="64"/>
      <w:bookmarkEnd w:id="65"/>
      <w:bookmarkEnd w:id="66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КОНТРОЛЬ И ОЦЕНКА РЕЗУЛЬТАТОВ ОСВОЕНИЯ ДИСЦИПЛИНЫ</w:t>
      </w: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Основы безопасности жизнедеятельности</w:t>
      </w:r>
    </w:p>
    <w:p w:rsidR="001B1EBB" w:rsidRDefault="001B1EB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B1EBB" w:rsidRDefault="001F1D59">
      <w:pPr>
        <w:pBdr>
          <w:top w:val="nil"/>
          <w:left w:val="nil"/>
          <w:bottom w:val="nil"/>
          <w:right w:val="nil"/>
          <w:between w:val="nil"/>
        </w:pBdr>
        <w:spacing w:after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и оценка результатов освоения дисциплины осуществляются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оектов, исследований.</w:t>
      </w:r>
    </w:p>
    <w:tbl>
      <w:tblPr>
        <w:tblStyle w:val="ad"/>
        <w:tblW w:w="922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493"/>
        <w:gridCol w:w="4733"/>
      </w:tblGrid>
      <w:tr w:rsidR="001B1EBB">
        <w:trPr>
          <w:trHeight w:val="557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1B1EBB">
        <w:trPr>
          <w:trHeight w:val="96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обучающиеся должны знать:</w:t>
            </w:r>
          </w:p>
          <w:p w:rsidR="001B1EBB" w:rsidRDefault="001F1D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возникающие в повседневной жизни опасные ситуации природного, техногенного и социального характера и правила поведения в них;</w:t>
            </w:r>
          </w:p>
          <w:p w:rsidR="001B1EBB" w:rsidRDefault="001F1D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мероприятия гражданской обороны по защите населения от последствий чрезвычайных ситуаций мирного и военного времени;</w:t>
            </w:r>
          </w:p>
          <w:p w:rsidR="001B1EBB" w:rsidRDefault="001F1D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 хозяйственной деятельности человека на атмосферу, гидросферу, биосферу;</w:t>
            </w:r>
          </w:p>
          <w:p w:rsidR="001B1EBB" w:rsidRDefault="001F1D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наиболее распространенные инфекционные заболевания, причины их возникновения, меры профилактики;</w:t>
            </w:r>
          </w:p>
          <w:p w:rsidR="001B1EBB" w:rsidRDefault="001F1D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методы и средства оказания первой медицинской помощи при ранениях, несчастных случаях;</w:t>
            </w:r>
          </w:p>
          <w:p w:rsidR="001B1EBB" w:rsidRDefault="001F1D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вредных привычках и их влиянии на здоровье человека.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6"/>
                <w:tab w:val="left" w:pos="3427"/>
              </w:tabs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Реферативные задания и доклады по темам: «Понятие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опасности.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Источники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возникновения опасностей»,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«Правила безопасного поведения в условиях вынужденного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автономного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существования»,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«Правила безопасного поведения на улице», «О вреде наркотиков»,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  <w:tab w:val="left" w:pos="3341"/>
              </w:tabs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«Закаливание организма человека», «Служба в вооруженных силах - почетная обязанность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каждого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гражданина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5"/>
                <w:tab w:val="left" w:pos="4411"/>
              </w:tabs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Российской Федерации», «Военно-прикладные виды спорта», «Безопасность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военнослужащих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6"/>
                <w:tab w:val="left" w:pos="3350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вооруженных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силах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Российской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Федерации»,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6"/>
                <w:tab w:val="left" w:pos="2933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«Правовая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основа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альтернативной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0"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гражданской службы - Конституция РФ».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8"/>
                <w:tab w:val="left" w:pos="4152"/>
              </w:tabs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Проектное задание в форме презентации: «Безопасность человека в чрезвычайных ситуациях природного характера», «Действия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метеорологических и гидрологических катастрофах», «Рода войск Российской Федерации: история создания, современное состояни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е».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Графическое задание в форме конкурса плакатов и других наглядных пособий на тему вреда алкоголя и табака.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конспектов лекций и работа с литературой по темам: «Безопасность при ДТП».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«Защита населения от ЧС техногенного</w:t>
            </w:r>
          </w:p>
        </w:tc>
      </w:tr>
    </w:tbl>
    <w:p w:rsidR="001B1EBB" w:rsidRDefault="001F1D59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e"/>
        <w:tblW w:w="923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493"/>
        <w:gridCol w:w="4738"/>
      </w:tblGrid>
      <w:tr w:rsidR="001B1EBB">
        <w:trPr>
          <w:trHeight w:val="8621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0"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обучающиеся должны владеть навыками:</w:t>
            </w:r>
          </w:p>
          <w:p w:rsidR="001B1EBB" w:rsidRDefault="001F1D5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</w:tabs>
              <w:spacing w:line="233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безопасного поведения в различных ситуациях, в том числе в зонах с повышенной криминогенной опасностью;</w:t>
            </w:r>
          </w:p>
          <w:p w:rsidR="001B1EBB" w:rsidRDefault="001F1D5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33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выполнения мероприятий гражданской обороны (использование средств индивидуальной и коллективной защиты);</w:t>
            </w:r>
          </w:p>
          <w:p w:rsidR="001B1EBB" w:rsidRDefault="001F1D5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  <w:spacing w:line="233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приемами оказания первой медицинской помощи при ранениях, кровотечениях, при травмах.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характера».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«Меры безопасности человека при бытовых пожарах».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«Документы по воинскому учету, предоставляемые в военный комиссариат».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«Состав медицинской комиссии при первоначальной постановке граждан на воинский учет».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«Категории годности к военной службе».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Федеральных законов о военной службе.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«Обязанности лиц суточного наряда».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7"/>
                <w:tab w:val="left" w:pos="3096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«Правила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призыва в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вооруженные силы РФ».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0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«Категории годности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 прохождению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военной службы по контракту».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0" w:line="233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«Распорядок дня в воинской части».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Ролевое задание по теме: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«Захват учебного заведения террористами».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Практическое задание по темам: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  <w:tab w:val="left" w:pos="3494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«Отработка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методов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остановки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кровотечений, наложение жгута»,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«Отработка методов наложения шин при переломах и повязок при вывихах и растяжениях, ушибах»,</w:t>
            </w:r>
          </w:p>
          <w:p w:rsidR="001B1EBB" w:rsidRDefault="001F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«Изучение и отработка строевых приемов».</w:t>
            </w:r>
          </w:p>
        </w:tc>
      </w:tr>
    </w:tbl>
    <w:p w:rsidR="001B1EBB" w:rsidRDefault="001B1EBB"/>
    <w:sectPr w:rsidR="001B1EBB">
      <w:pgSz w:w="11900" w:h="16840"/>
      <w:pgMar w:top="2042" w:right="805" w:bottom="2204" w:left="1553" w:header="1614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59" w:rsidRDefault="001F1D59">
      <w:r>
        <w:separator/>
      </w:r>
    </w:p>
  </w:endnote>
  <w:endnote w:type="continuationSeparator" w:id="0">
    <w:p w:rsidR="001F1D59" w:rsidRDefault="001F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BB" w:rsidRDefault="001F1D59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3035300</wp:posOffset>
              </wp:positionH>
              <wp:positionV relativeFrom="paragraph">
                <wp:posOffset>9410700</wp:posOffset>
              </wp:positionV>
              <wp:extent cx="73660" cy="109855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9835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1EBB" w:rsidRDefault="001F1D59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3035300</wp:posOffset>
              </wp:positionH>
              <wp:positionV relativeFrom="paragraph">
                <wp:posOffset>9410700</wp:posOffset>
              </wp:positionV>
              <wp:extent cx="73660" cy="10985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09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BB" w:rsidRDefault="001B1EBB">
    <w:pPr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BB" w:rsidRDefault="001F1D59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4318000</wp:posOffset>
              </wp:positionH>
              <wp:positionV relativeFrom="paragraph">
                <wp:posOffset>6769100</wp:posOffset>
              </wp:positionV>
              <wp:extent cx="134620" cy="11620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3453" y="3726660"/>
                        <a:ext cx="12509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1EBB" w:rsidRDefault="001F1D59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4318000</wp:posOffset>
              </wp:positionH>
              <wp:positionV relativeFrom="paragraph">
                <wp:posOffset>6769100</wp:posOffset>
              </wp:positionV>
              <wp:extent cx="134620" cy="1162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62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BB" w:rsidRDefault="001F1D59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9626600</wp:posOffset>
              </wp:positionV>
              <wp:extent cx="122555" cy="11303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9485" y="3728248"/>
                        <a:ext cx="11303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1EBB" w:rsidRDefault="001F1D59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20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2971800</wp:posOffset>
              </wp:positionH>
              <wp:positionV relativeFrom="paragraph">
                <wp:posOffset>9626600</wp:posOffset>
              </wp:positionV>
              <wp:extent cx="122555" cy="11303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55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59" w:rsidRDefault="001F1D59">
      <w:r>
        <w:separator/>
      </w:r>
    </w:p>
  </w:footnote>
  <w:footnote w:type="continuationSeparator" w:id="0">
    <w:p w:rsidR="001F1D59" w:rsidRDefault="001F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E19"/>
    <w:multiLevelType w:val="multilevel"/>
    <w:tmpl w:val="FDD464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9154CA"/>
    <w:multiLevelType w:val="multilevel"/>
    <w:tmpl w:val="28C8C828"/>
    <w:lvl w:ilvl="0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41184A"/>
    <w:multiLevelType w:val="multilevel"/>
    <w:tmpl w:val="1C0C47D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8080089"/>
    <w:multiLevelType w:val="multilevel"/>
    <w:tmpl w:val="4D38F0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07304EE"/>
    <w:multiLevelType w:val="multilevel"/>
    <w:tmpl w:val="8418F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54045E0"/>
    <w:multiLevelType w:val="multilevel"/>
    <w:tmpl w:val="C9A4421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682774"/>
    <w:multiLevelType w:val="multilevel"/>
    <w:tmpl w:val="A72A6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60DC207B"/>
    <w:multiLevelType w:val="multilevel"/>
    <w:tmpl w:val="6F92A47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22448EC"/>
    <w:multiLevelType w:val="multilevel"/>
    <w:tmpl w:val="7936A5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8294C64"/>
    <w:multiLevelType w:val="multilevel"/>
    <w:tmpl w:val="95B240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AC135FE"/>
    <w:multiLevelType w:val="multilevel"/>
    <w:tmpl w:val="0C3A8A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B445464"/>
    <w:multiLevelType w:val="multilevel"/>
    <w:tmpl w:val="88B614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BB"/>
    <w:rsid w:val="001B1EBB"/>
    <w:rsid w:val="001F1D59"/>
    <w:rsid w:val="006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58BA"/>
  <w15:docId w15:val="{B3A7950B-E71A-43CB-8C8D-71A0DD17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4238</Words>
  <Characters>24158</Characters>
  <Application>Microsoft Office Word</Application>
  <DocSecurity>0</DocSecurity>
  <Lines>201</Lines>
  <Paragraphs>56</Paragraphs>
  <ScaleCrop>false</ScaleCrop>
  <Company/>
  <LinksUpToDate>false</LinksUpToDate>
  <CharactersWithSpaces>28340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2021-10-11T07:15:00Z</dcterms:created>
  <dcterms:modified xsi:type="dcterms:W3CDTF">2021-10-11T07:15:00Z</dcterms:modified>
</cp:coreProperties>
</file>